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CAA4" w14:textId="77777777" w:rsidR="00752EB9" w:rsidRDefault="00752EB9"/>
    <w:p w14:paraId="506CEA4F" w14:textId="03917A35" w:rsidR="00752EB9" w:rsidRDefault="009B3B25">
      <w:r w:rsidRPr="009B3B25">
        <w:drawing>
          <wp:inline distT="0" distB="0" distL="0" distR="0" wp14:anchorId="7F09EEEF" wp14:editId="3B20430E">
            <wp:extent cx="2804403" cy="2682472"/>
            <wp:effectExtent l="0" t="0" r="0" b="3810"/>
            <wp:docPr id="481141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419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4FE7" w14:textId="77777777" w:rsidR="009B3B25" w:rsidRDefault="009B3B25"/>
    <w:p w14:paraId="59574BF7" w14:textId="00033745" w:rsidR="00A40F4A" w:rsidRDefault="00752EB9" w:rsidP="00752EB9">
      <w:pPr>
        <w:rPr>
          <w:b/>
          <w:bCs/>
        </w:rPr>
      </w:pPr>
      <w:r w:rsidRPr="00752EB9">
        <w:br/>
      </w:r>
      <w:r w:rsidR="00A40F4A">
        <w:rPr>
          <w:b/>
          <w:bCs/>
        </w:rPr>
        <w:t>Mentioned Holdings</w:t>
      </w:r>
    </w:p>
    <w:p w14:paraId="6725A91F" w14:textId="38636CF2" w:rsidR="00752EB9" w:rsidRPr="00A40F4A" w:rsidRDefault="00752EB9" w:rsidP="00A40F4A">
      <w:pPr>
        <w:spacing w:after="0"/>
      </w:pPr>
      <w:r w:rsidRPr="00A40F4A">
        <w:t>Eaton Corporation plc (ETN)</w:t>
      </w:r>
      <w:r w:rsidRPr="00A40F4A">
        <w:tab/>
      </w:r>
      <w:r w:rsidRPr="00A40F4A">
        <w:tab/>
      </w:r>
      <w:r w:rsidRPr="00A40F4A">
        <w:tab/>
      </w:r>
      <w:r w:rsidRPr="00A40F4A">
        <w:tab/>
        <w:t>2.920%</w:t>
      </w:r>
    </w:p>
    <w:p w14:paraId="5E660CCE" w14:textId="76163CB5" w:rsidR="00752EB9" w:rsidRPr="00A40F4A" w:rsidRDefault="00752EB9" w:rsidP="00A40F4A">
      <w:pPr>
        <w:spacing w:after="0"/>
      </w:pPr>
      <w:r w:rsidRPr="00752EB9">
        <w:t>Comfort Systems USA, Inc. (FIX)</w:t>
      </w:r>
      <w:r w:rsidRPr="00A40F4A">
        <w:tab/>
      </w:r>
      <w:r w:rsidRPr="00A40F4A">
        <w:tab/>
      </w:r>
      <w:r w:rsidRPr="00A40F4A">
        <w:tab/>
        <w:t>2.111%</w:t>
      </w:r>
    </w:p>
    <w:p w14:paraId="24CBC274" w14:textId="4E23D960" w:rsidR="00752EB9" w:rsidRPr="00752EB9" w:rsidRDefault="00752EB9" w:rsidP="00A40F4A">
      <w:pPr>
        <w:spacing w:after="0"/>
      </w:pPr>
      <w:r w:rsidRPr="00752EB9">
        <w:t>Teva Pharmaceutical Industries Limited (TEVA)</w:t>
      </w:r>
      <w:r w:rsidRPr="00A40F4A">
        <w:tab/>
        <w:t>2.239%</w:t>
      </w:r>
    </w:p>
    <w:p w14:paraId="1B3A7F94" w14:textId="505707D3" w:rsidR="00752EB9" w:rsidRPr="00752EB9" w:rsidRDefault="00752EB9" w:rsidP="00A40F4A">
      <w:pPr>
        <w:spacing w:after="0"/>
      </w:pPr>
      <w:r w:rsidRPr="00752EB9">
        <w:t>Snowflake Inc. (SNOW)</w:t>
      </w:r>
      <w:r w:rsidRPr="00A40F4A">
        <w:tab/>
      </w:r>
      <w:r w:rsidRPr="00A40F4A">
        <w:tab/>
      </w:r>
      <w:r w:rsidRPr="00A40F4A">
        <w:tab/>
      </w:r>
      <w:r w:rsidRPr="00A40F4A">
        <w:tab/>
        <w:t>2.254%</w:t>
      </w:r>
    </w:p>
    <w:p w14:paraId="7D5B8478" w14:textId="35D3FC39" w:rsidR="00752EB9" w:rsidRPr="00752EB9" w:rsidRDefault="00752EB9" w:rsidP="00A40F4A">
      <w:pPr>
        <w:spacing w:after="0"/>
      </w:pPr>
      <w:r w:rsidRPr="00752EB9">
        <w:t>Twilio Inc. (TWLO)</w:t>
      </w:r>
      <w:r w:rsidRPr="00A40F4A">
        <w:tab/>
      </w:r>
      <w:r w:rsidRPr="00A40F4A">
        <w:tab/>
      </w:r>
      <w:r w:rsidRPr="00A40F4A">
        <w:tab/>
      </w:r>
      <w:r w:rsidRPr="00A40F4A">
        <w:tab/>
      </w:r>
      <w:r w:rsidRPr="00A40F4A">
        <w:tab/>
        <w:t>2.212%</w:t>
      </w:r>
      <w:r w:rsidRPr="00A40F4A">
        <w:tab/>
      </w:r>
      <w:r w:rsidRPr="00A40F4A">
        <w:tab/>
      </w:r>
      <w:r w:rsidRPr="00A40F4A">
        <w:tab/>
      </w:r>
    </w:p>
    <w:p w14:paraId="25A28596" w14:textId="2EC04542" w:rsidR="00752EB9" w:rsidRPr="00752EB9" w:rsidRDefault="00752EB9" w:rsidP="00A40F4A">
      <w:pPr>
        <w:spacing w:after="0"/>
      </w:pPr>
      <w:r w:rsidRPr="00752EB9">
        <w:t>Cameco Corporation (CCJ)</w:t>
      </w:r>
      <w:r w:rsidRPr="00A40F4A">
        <w:tab/>
      </w:r>
      <w:r w:rsidRPr="00A40F4A">
        <w:tab/>
      </w:r>
      <w:r w:rsidRPr="00A40F4A">
        <w:tab/>
      </w:r>
      <w:r w:rsidRPr="00A40F4A">
        <w:tab/>
        <w:t>2.235%</w:t>
      </w:r>
    </w:p>
    <w:p w14:paraId="6A6B5AEF" w14:textId="77777777" w:rsidR="009B3B25" w:rsidRDefault="009B3B25" w:rsidP="00A40F4A">
      <w:pPr>
        <w:spacing w:after="0"/>
        <w:rPr>
          <w:sz w:val="20"/>
        </w:rPr>
      </w:pPr>
    </w:p>
    <w:p w14:paraId="6FDE31DE" w14:textId="3EF22467" w:rsidR="00752EB9" w:rsidRPr="00A40F4A" w:rsidRDefault="00A40F4A" w:rsidP="00A40F4A">
      <w:pPr>
        <w:spacing w:after="0"/>
        <w:rPr>
          <w:sz w:val="20"/>
        </w:rPr>
      </w:pPr>
      <w:r w:rsidRPr="00A40F4A">
        <w:rPr>
          <w:sz w:val="20"/>
        </w:rPr>
        <w:t xml:space="preserve">As of </w:t>
      </w:r>
      <w:r w:rsidR="00752EB9" w:rsidRPr="00A40F4A">
        <w:rPr>
          <w:sz w:val="20"/>
        </w:rPr>
        <w:t>October 31, 2025</w:t>
      </w:r>
    </w:p>
    <w:p w14:paraId="68EE3446" w14:textId="6F153EB7" w:rsidR="00A40F4A" w:rsidRPr="00752EB9" w:rsidRDefault="00A40F4A" w:rsidP="00A40F4A">
      <w:pPr>
        <w:spacing w:after="0"/>
        <w:rPr>
          <w:sz w:val="20"/>
        </w:rPr>
      </w:pPr>
      <w:r w:rsidRPr="00A40F4A">
        <w:rPr>
          <w:sz w:val="20"/>
        </w:rPr>
        <w:t>Data Source: Ultimus Fund Solutions, LLC.</w:t>
      </w:r>
    </w:p>
    <w:p w14:paraId="05C7F32F" w14:textId="77777777" w:rsidR="00752EB9" w:rsidRPr="00752EB9" w:rsidRDefault="00752EB9" w:rsidP="00752EB9">
      <w:pPr>
        <w:rPr>
          <w:b/>
          <w:bCs/>
        </w:rPr>
      </w:pPr>
    </w:p>
    <w:p w14:paraId="433CB5C2" w14:textId="2AD6072B" w:rsidR="00752EB9" w:rsidRDefault="00752EB9"/>
    <w:sectPr w:rsidR="0075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4F"/>
    <w:rsid w:val="001A635F"/>
    <w:rsid w:val="00752EB9"/>
    <w:rsid w:val="009B3B25"/>
    <w:rsid w:val="00A40F4A"/>
    <w:rsid w:val="00E83A78"/>
    <w:rsid w:val="00F36776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1F33"/>
  <w15:chartTrackingRefBased/>
  <w15:docId w15:val="{8DBEA6A4-5CA4-4329-8089-812B97E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280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1</cp:revision>
  <dcterms:created xsi:type="dcterms:W3CDTF">2025-12-02T16:57:00Z</dcterms:created>
  <dcterms:modified xsi:type="dcterms:W3CDTF">2025-12-02T22:04:00Z</dcterms:modified>
</cp:coreProperties>
</file>