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B863" w14:textId="49D626A8" w:rsidR="001A635F" w:rsidRDefault="00742765">
      <w:r w:rsidRPr="00742765">
        <w:rPr>
          <w:noProof/>
        </w:rPr>
        <w:drawing>
          <wp:inline distT="0" distB="0" distL="0" distR="0" wp14:anchorId="3795E7D4" wp14:editId="4198F94D">
            <wp:extent cx="2924583" cy="2800741"/>
            <wp:effectExtent l="0" t="0" r="9525" b="0"/>
            <wp:docPr id="1643106226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106226" name="Picture 1" descr="A white paper with black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4583" cy="280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1AA1D" w14:textId="77777777" w:rsidR="00742765" w:rsidRDefault="00742765"/>
    <w:p w14:paraId="45C6E91A" w14:textId="77777777" w:rsidR="00742765" w:rsidRDefault="00742765"/>
    <w:p w14:paraId="6537E785" w14:textId="43F44650" w:rsidR="00742765" w:rsidRPr="00742765" w:rsidRDefault="00742765">
      <w:pPr>
        <w:rPr>
          <w:b/>
          <w:bCs/>
        </w:rPr>
      </w:pPr>
      <w:r w:rsidRPr="00742765">
        <w:rPr>
          <w:b/>
          <w:bCs/>
        </w:rPr>
        <w:t xml:space="preserve">Mentioned Holdings </w:t>
      </w:r>
    </w:p>
    <w:p w14:paraId="5673EDA8" w14:textId="0120EED9" w:rsidR="00F14CB9" w:rsidRPr="004D3213" w:rsidRDefault="00F14CB9" w:rsidP="00F14CB9">
      <w:pPr>
        <w:spacing w:after="0"/>
      </w:pPr>
      <w:r w:rsidRPr="00F14CB9">
        <w:t>Broadcom Inc. (AVGO)</w:t>
      </w:r>
      <w:r w:rsidR="003376FF">
        <w:tab/>
      </w:r>
      <w:r w:rsidR="003376FF">
        <w:tab/>
      </w:r>
      <w:r w:rsidR="003376FF">
        <w:tab/>
      </w:r>
      <w:r w:rsidR="003376FF" w:rsidRPr="003376FF">
        <w:t>1.907%</w:t>
      </w:r>
    </w:p>
    <w:p w14:paraId="104D336F" w14:textId="53BA7C15" w:rsidR="00A56321" w:rsidRPr="00A56321" w:rsidRDefault="00A56321" w:rsidP="00A56321">
      <w:pPr>
        <w:spacing w:after="0"/>
      </w:pPr>
      <w:r w:rsidRPr="00A56321">
        <w:t>Oracle Corporation (ORCL)</w:t>
      </w:r>
      <w:r w:rsidR="00A82F44">
        <w:tab/>
      </w:r>
      <w:r w:rsidR="00A82F44">
        <w:tab/>
      </w:r>
      <w:r w:rsidR="00A82F44">
        <w:tab/>
      </w:r>
      <w:r w:rsidR="00A82F44" w:rsidRPr="00A82F44">
        <w:t>0.975%</w:t>
      </w:r>
    </w:p>
    <w:p w14:paraId="6197FEB1" w14:textId="58B6E0A7" w:rsidR="00855F1D" w:rsidRPr="004D3213" w:rsidRDefault="00855F1D" w:rsidP="00855F1D">
      <w:pPr>
        <w:spacing w:after="0"/>
      </w:pPr>
      <w:r w:rsidRPr="00855F1D">
        <w:t>Robinhood Markets, Inc. (HOOD</w:t>
      </w:r>
      <w:proofErr w:type="gramStart"/>
      <w:r w:rsidRPr="00855F1D">
        <w:t>)</w:t>
      </w:r>
      <w:r w:rsidR="000D1895">
        <w:tab/>
      </w:r>
      <w:r w:rsidR="000D1895">
        <w:tab/>
      </w:r>
      <w:r w:rsidR="000D1895" w:rsidRPr="000D1895">
        <w:t>1.572</w:t>
      </w:r>
      <w:r w:rsidR="000D1895">
        <w:t>6</w:t>
      </w:r>
      <w:proofErr w:type="gramEnd"/>
      <w:r w:rsidR="000D1895" w:rsidRPr="000D1895">
        <w:t>%</w:t>
      </w:r>
    </w:p>
    <w:p w14:paraId="719828E0" w14:textId="36D803F6" w:rsidR="00932E4C" w:rsidRPr="00932E4C" w:rsidRDefault="00932E4C" w:rsidP="00932E4C">
      <w:pPr>
        <w:spacing w:after="0"/>
      </w:pPr>
      <w:r w:rsidRPr="00932E4C">
        <w:t>Ambarella, Inc. (AMBA)</w:t>
      </w:r>
      <w:r w:rsidR="006430A0">
        <w:tab/>
      </w:r>
      <w:r w:rsidR="006430A0">
        <w:tab/>
      </w:r>
      <w:r w:rsidR="006430A0">
        <w:tab/>
      </w:r>
      <w:r w:rsidR="006430A0" w:rsidRPr="006430A0">
        <w:t>0.477%</w:t>
      </w:r>
    </w:p>
    <w:p w14:paraId="4D383470" w14:textId="627891EE" w:rsidR="00BE47F1" w:rsidRPr="004D3213" w:rsidRDefault="00BE47F1" w:rsidP="00BE47F1">
      <w:pPr>
        <w:spacing w:after="0"/>
      </w:pPr>
      <w:r w:rsidRPr="00BE47F1">
        <w:t>Electronic Arts Inc. (EA)</w:t>
      </w:r>
      <w:r w:rsidR="0056479E">
        <w:tab/>
      </w:r>
      <w:r w:rsidR="0056479E">
        <w:tab/>
      </w:r>
      <w:r w:rsidR="0056479E">
        <w:tab/>
        <w:t>0.000%</w:t>
      </w:r>
    </w:p>
    <w:p w14:paraId="491E599C" w14:textId="2CF8BF85" w:rsidR="00BE47F1" w:rsidRPr="004D3213" w:rsidRDefault="00BE47F1" w:rsidP="00BE47F1">
      <w:pPr>
        <w:spacing w:after="0"/>
      </w:pPr>
      <w:r w:rsidRPr="00BE47F1">
        <w:t>StubHub Holdings, Inc. (STUB</w:t>
      </w:r>
      <w:proofErr w:type="gramStart"/>
      <w:r w:rsidRPr="00BE47F1">
        <w:t>)</w:t>
      </w:r>
      <w:r w:rsidR="00340A93">
        <w:tab/>
      </w:r>
      <w:r w:rsidR="00340A93">
        <w:tab/>
        <w:t>0.000</w:t>
      </w:r>
      <w:proofErr w:type="gramEnd"/>
      <w:r w:rsidR="00340A93">
        <w:t>%</w:t>
      </w:r>
    </w:p>
    <w:p w14:paraId="75312A39" w14:textId="668539B3" w:rsidR="00801F15" w:rsidRPr="00801F15" w:rsidRDefault="00801F15" w:rsidP="00801F15">
      <w:pPr>
        <w:spacing w:after="0"/>
      </w:pPr>
      <w:r w:rsidRPr="00801F15">
        <w:t>Live Nation Entertainment, Inc. (LYV)</w:t>
      </w:r>
      <w:r w:rsidR="00370009">
        <w:tab/>
        <w:t>(</w:t>
      </w:r>
      <w:r w:rsidR="00370009" w:rsidRPr="00370009">
        <w:t>0.94</w:t>
      </w:r>
      <w:r w:rsidR="00370009">
        <w:t>5%)</w:t>
      </w:r>
    </w:p>
    <w:p w14:paraId="69EFC280" w14:textId="74F905EA" w:rsidR="00A63EBF" w:rsidRPr="00A63EBF" w:rsidRDefault="00A63EBF" w:rsidP="00A63EBF">
      <w:pPr>
        <w:spacing w:after="0"/>
      </w:pPr>
      <w:r w:rsidRPr="00A63EBF">
        <w:t>Ciena Corporation (CIEN)</w:t>
      </w:r>
      <w:r w:rsidR="00050622">
        <w:tab/>
      </w:r>
      <w:r w:rsidR="00050622">
        <w:tab/>
      </w:r>
      <w:r w:rsidR="00050622">
        <w:tab/>
        <w:t>1.263</w:t>
      </w:r>
      <w:r w:rsidR="00B87B1A">
        <w:t>%</w:t>
      </w:r>
    </w:p>
    <w:p w14:paraId="3AF5A012" w14:textId="4D92582A" w:rsidR="005C24F6" w:rsidRPr="005C24F6" w:rsidRDefault="005C24F6" w:rsidP="005C24F6">
      <w:pPr>
        <w:spacing w:after="0"/>
      </w:pPr>
      <w:r w:rsidRPr="005C24F6">
        <w:t>Vertiv Holdings Co (VRT)</w:t>
      </w:r>
      <w:r w:rsidR="00B87B1A">
        <w:tab/>
      </w:r>
      <w:r w:rsidR="00B87B1A">
        <w:tab/>
      </w:r>
      <w:r w:rsidR="00B87B1A">
        <w:tab/>
        <w:t>2.</w:t>
      </w:r>
      <w:r w:rsidR="00AB427D">
        <w:t>616%</w:t>
      </w:r>
    </w:p>
    <w:p w14:paraId="7FD736D7" w14:textId="026A7A5C" w:rsidR="005C24F6" w:rsidRPr="005C24F6" w:rsidRDefault="005C24F6" w:rsidP="005C24F6">
      <w:pPr>
        <w:spacing w:after="0"/>
      </w:pPr>
      <w:r w:rsidRPr="005C24F6">
        <w:t>Alibaba Group Holding Limited (BABA)</w:t>
      </w:r>
      <w:r w:rsidR="00AB427D">
        <w:tab/>
        <w:t>0.827%</w:t>
      </w:r>
    </w:p>
    <w:p w14:paraId="5ACA4A56" w14:textId="09DB53AA" w:rsidR="00D94749" w:rsidRPr="00D94749" w:rsidRDefault="00D94749" w:rsidP="00D94749">
      <w:pPr>
        <w:spacing w:after="0"/>
      </w:pPr>
      <w:r w:rsidRPr="00D94749">
        <w:t>Wingstop Inc. (WING)</w:t>
      </w:r>
      <w:r w:rsidR="000C244A">
        <w:tab/>
      </w:r>
      <w:r w:rsidR="000C244A">
        <w:tab/>
      </w:r>
      <w:r w:rsidR="000C244A">
        <w:tab/>
        <w:t>1.018%</w:t>
      </w:r>
    </w:p>
    <w:p w14:paraId="687DA5B7" w14:textId="77777777" w:rsidR="00BE47F1" w:rsidRPr="00BE47F1" w:rsidRDefault="00BE47F1" w:rsidP="00BE47F1">
      <w:pPr>
        <w:spacing w:after="0"/>
        <w:rPr>
          <w:b/>
          <w:bCs/>
        </w:rPr>
      </w:pPr>
    </w:p>
    <w:p w14:paraId="0C8C4646" w14:textId="3D9ADBEF" w:rsidR="004D3213" w:rsidRPr="000E2A24" w:rsidRDefault="004D3213" w:rsidP="004D3213">
      <w:pPr>
        <w:spacing w:after="0"/>
        <w:rPr>
          <w:sz w:val="20"/>
          <w:szCs w:val="20"/>
        </w:rPr>
      </w:pPr>
      <w:r w:rsidRPr="000E2A24">
        <w:rPr>
          <w:sz w:val="20"/>
          <w:szCs w:val="20"/>
        </w:rPr>
        <w:t xml:space="preserve">As of </w:t>
      </w:r>
      <w:r>
        <w:rPr>
          <w:sz w:val="20"/>
          <w:szCs w:val="20"/>
        </w:rPr>
        <w:t>September</w:t>
      </w:r>
      <w:r w:rsidRPr="000E2A24">
        <w:rPr>
          <w:sz w:val="20"/>
          <w:szCs w:val="20"/>
        </w:rPr>
        <w:t xml:space="preserve"> 3</w:t>
      </w:r>
      <w:r>
        <w:rPr>
          <w:sz w:val="20"/>
          <w:szCs w:val="20"/>
        </w:rPr>
        <w:t>0</w:t>
      </w:r>
      <w:r w:rsidRPr="000E2A24">
        <w:rPr>
          <w:sz w:val="20"/>
          <w:szCs w:val="20"/>
        </w:rPr>
        <w:t>, 2025</w:t>
      </w:r>
    </w:p>
    <w:p w14:paraId="37C1F71F" w14:textId="1CB7A2FC" w:rsidR="00742765" w:rsidRPr="000C244A" w:rsidRDefault="004D3213" w:rsidP="000C244A">
      <w:pPr>
        <w:spacing w:after="0"/>
        <w:rPr>
          <w:sz w:val="20"/>
          <w:szCs w:val="20"/>
        </w:rPr>
      </w:pPr>
      <w:r w:rsidRPr="000E2A24">
        <w:rPr>
          <w:sz w:val="20"/>
          <w:szCs w:val="20"/>
        </w:rPr>
        <w:t xml:space="preserve">Data Source: Ultimus Fund Solutions, LLC. </w:t>
      </w:r>
    </w:p>
    <w:p w14:paraId="0F0D881F" w14:textId="77777777" w:rsidR="00742765" w:rsidRDefault="00742765"/>
    <w:sectPr w:rsidR="00742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65"/>
    <w:rsid w:val="00050622"/>
    <w:rsid w:val="000C244A"/>
    <w:rsid w:val="000D1895"/>
    <w:rsid w:val="000E2A24"/>
    <w:rsid w:val="001A635F"/>
    <w:rsid w:val="00281676"/>
    <w:rsid w:val="003376FF"/>
    <w:rsid w:val="00340A93"/>
    <w:rsid w:val="00370009"/>
    <w:rsid w:val="004D3213"/>
    <w:rsid w:val="0056479E"/>
    <w:rsid w:val="005C24F6"/>
    <w:rsid w:val="006430A0"/>
    <w:rsid w:val="00742765"/>
    <w:rsid w:val="007879A1"/>
    <w:rsid w:val="007B5B99"/>
    <w:rsid w:val="00801F15"/>
    <w:rsid w:val="00855F1D"/>
    <w:rsid w:val="00896CD3"/>
    <w:rsid w:val="00932E4C"/>
    <w:rsid w:val="00A56321"/>
    <w:rsid w:val="00A63EBF"/>
    <w:rsid w:val="00A82F44"/>
    <w:rsid w:val="00AB427D"/>
    <w:rsid w:val="00B87B1A"/>
    <w:rsid w:val="00BE47F1"/>
    <w:rsid w:val="00CD62D6"/>
    <w:rsid w:val="00D94749"/>
    <w:rsid w:val="00E83A78"/>
    <w:rsid w:val="00F1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38801"/>
  <w15:chartTrackingRefBased/>
  <w15:docId w15:val="{40D960EB-415D-4274-8ACA-E19582C2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7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7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7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7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7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7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7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7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7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423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Kattner</dc:creator>
  <cp:keywords/>
  <dc:description/>
  <cp:lastModifiedBy>Nathan Kattner</cp:lastModifiedBy>
  <cp:revision>2</cp:revision>
  <dcterms:created xsi:type="dcterms:W3CDTF">2025-11-18T21:08:00Z</dcterms:created>
  <dcterms:modified xsi:type="dcterms:W3CDTF">2025-11-18T21:08:00Z</dcterms:modified>
</cp:coreProperties>
</file>